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89"/>
      </w:tblGrid>
      <w:tr w:rsidR="00F44EC2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EC2" w:rsidRDefault="001E7D74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0" w:name="n2"/>
            <w:bookmarkStart w:id="1" w:name="_GoBack"/>
            <w:bookmarkEnd w:id="0"/>
            <w:bookmarkEnd w:id="1"/>
            <w:r>
              <w:rPr>
                <w:rStyle w:val="spanrvts0"/>
                <w:noProof/>
                <w:lang w:val="ru-RU"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00001" name="Рисунок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EC2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EC2" w:rsidRDefault="001E7D74">
            <w:pPr>
              <w:pStyle w:val="rvps1"/>
              <w:spacing w:before="150"/>
              <w:rPr>
                <w:rStyle w:val="spanrvts0"/>
                <w:lang w:val="uk" w:eastAsia="uk"/>
              </w:rPr>
            </w:pPr>
            <w:r>
              <w:rPr>
                <w:rStyle w:val="spanrvts15"/>
                <w:lang w:val="uk" w:eastAsia="uk"/>
              </w:rPr>
              <w:t>МІНІСТЕРСТВО ОСВІТИ І НАУКИ УКРАЇНИ</w:t>
            </w:r>
          </w:p>
        </w:tc>
      </w:tr>
      <w:tr w:rsidR="00F44EC2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EC2" w:rsidRDefault="001E7D74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r>
              <w:rPr>
                <w:rStyle w:val="spanrvts23"/>
                <w:lang w:val="uk" w:eastAsia="uk"/>
              </w:rPr>
              <w:t>НАКАЗ</w:t>
            </w:r>
          </w:p>
        </w:tc>
      </w:tr>
      <w:tr w:rsidR="00F44EC2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EC2" w:rsidRDefault="001E7D74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24.04.2024 № 578</w:t>
            </w:r>
          </w:p>
        </w:tc>
      </w:tr>
    </w:tbl>
    <w:p w:rsidR="00F44EC2" w:rsidRDefault="00F44EC2">
      <w:pPr>
        <w:rPr>
          <w:vanish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13"/>
        <w:gridCol w:w="3876"/>
      </w:tblGrid>
      <w:tr w:rsidR="00F44EC2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EC2" w:rsidRDefault="00F44EC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" w:name="n3"/>
            <w:bookmarkEnd w:id="2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EC2" w:rsidRDefault="001E7D74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Зареєстровано в Міністерстві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юстиції України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09 травня 2024 р.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за № 667/42012</w:t>
            </w:r>
          </w:p>
        </w:tc>
      </w:tr>
    </w:tbl>
    <w:p w:rsidR="00F44EC2" w:rsidRDefault="001E7D74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3" w:name="n4"/>
      <w:bookmarkEnd w:id="3"/>
      <w:r>
        <w:rPr>
          <w:rStyle w:val="spanrvts23"/>
          <w:lang w:val="uk" w:eastAsia="uk"/>
        </w:rPr>
        <w:t xml:space="preserve">Про затвердження форми рішення разової спеціалізованої вченої ради про присудження ступеня доктора </w:t>
      </w:r>
      <w:r>
        <w:rPr>
          <w:rStyle w:val="spanrvts23"/>
          <w:lang w:val="uk" w:eastAsia="uk"/>
        </w:rPr>
        <w:t>філософії</w:t>
      </w:r>
    </w:p>
    <w:p w:rsidR="00F44EC2" w:rsidRDefault="001E7D74">
      <w:pPr>
        <w:pStyle w:val="rvps18"/>
        <w:spacing w:before="150" w:after="300"/>
        <w:ind w:left="450" w:right="450"/>
        <w:rPr>
          <w:rStyle w:val="spanrvts0"/>
          <w:i/>
          <w:iCs/>
          <w:lang w:val="uk" w:eastAsia="uk"/>
        </w:rPr>
      </w:pPr>
      <w:bookmarkStart w:id="4" w:name="n18"/>
      <w:bookmarkEnd w:id="4"/>
      <w:r>
        <w:rPr>
          <w:rStyle w:val="spanrvts0"/>
          <w:i/>
          <w:iCs/>
          <w:lang w:val="uk" w:eastAsia="uk"/>
        </w:rPr>
        <w:t xml:space="preserve">{Із змінами, внесеними згідно з Наказом Міністерства освіти і науки </w:t>
      </w:r>
      <w:r>
        <w:rPr>
          <w:rStyle w:val="spanrvts0"/>
          <w:i/>
          <w:iCs/>
          <w:lang w:val="uk" w:eastAsia="uk"/>
        </w:rPr>
        <w:br/>
      </w:r>
      <w:hyperlink r:id="rId6" w:anchor="n2" w:tgtFrame="_blank" w:history="1">
        <w:r>
          <w:rPr>
            <w:rStyle w:val="arvts96"/>
            <w:lang w:val="uk" w:eastAsia="uk"/>
          </w:rPr>
          <w:t>№ 688 від 15.05.2024</w:t>
        </w:r>
      </w:hyperlink>
      <w:r>
        <w:rPr>
          <w:rStyle w:val="spanrvts0"/>
          <w:i/>
          <w:iCs/>
          <w:lang w:val="uk" w:eastAsia="uk"/>
        </w:rPr>
        <w:t>}</w:t>
      </w:r>
    </w:p>
    <w:p w:rsidR="00F44EC2" w:rsidRDefault="001E7D74">
      <w:pPr>
        <w:pStyle w:val="rvps2"/>
        <w:spacing w:after="150"/>
        <w:rPr>
          <w:rStyle w:val="spanrvts0"/>
          <w:lang w:val="uk" w:eastAsia="uk"/>
        </w:rPr>
      </w:pPr>
      <w:bookmarkStart w:id="5" w:name="n5"/>
      <w:bookmarkEnd w:id="5"/>
      <w:r>
        <w:rPr>
          <w:rStyle w:val="spanrvts0"/>
          <w:lang w:val="uk" w:eastAsia="uk"/>
        </w:rPr>
        <w:t xml:space="preserve">Відповідно до </w:t>
      </w:r>
      <w:hyperlink r:id="rId7" w:anchor="n113" w:tgtFrame="_blank" w:history="1">
        <w:r>
          <w:rPr>
            <w:rStyle w:val="arvts96"/>
            <w:lang w:val="uk" w:eastAsia="uk"/>
          </w:rPr>
          <w:t>пункту 29</w:t>
        </w:r>
      </w:hyperlink>
      <w:r>
        <w:rPr>
          <w:rStyle w:val="spanrvts0"/>
          <w:lang w:val="uk" w:eastAsia="uk"/>
        </w:rPr>
        <w:t xml:space="preserve">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філософії, затвердженого постановою Кабін</w:t>
      </w:r>
      <w:r>
        <w:rPr>
          <w:rStyle w:val="spanrvts0"/>
          <w:lang w:val="uk" w:eastAsia="uk"/>
        </w:rPr>
        <w:t xml:space="preserve">ету Міністрів України від 12 січня 2022 року № 44, </w:t>
      </w:r>
      <w:hyperlink r:id="rId8" w:anchor="n123" w:tgtFrame="_blank" w:history="1">
        <w:r>
          <w:rPr>
            <w:rStyle w:val="arvts96"/>
            <w:lang w:val="uk" w:eastAsia="uk"/>
          </w:rPr>
          <w:t>пункту 8</w:t>
        </w:r>
      </w:hyperlink>
      <w:r>
        <w:rPr>
          <w:rStyle w:val="spanrvts0"/>
          <w:lang w:val="uk" w:eastAsia="uk"/>
        </w:rPr>
        <w:t xml:space="preserve"> Положення про Міністерство освіти і науки України, затвердженого постановою Кабінету Міністрів України від</w:t>
      </w:r>
      <w:r>
        <w:rPr>
          <w:rStyle w:val="spanrvts0"/>
          <w:lang w:val="uk" w:eastAsia="uk"/>
        </w:rPr>
        <w:t xml:space="preserve"> 16 жовтня 2014 року № 630, </w:t>
      </w:r>
      <w:r>
        <w:rPr>
          <w:rStyle w:val="spanrvts52"/>
          <w:lang w:val="uk" w:eastAsia="uk"/>
        </w:rPr>
        <w:t>НАКАЗУЮ:</w:t>
      </w:r>
    </w:p>
    <w:p w:rsidR="00F44EC2" w:rsidRDefault="001E7D74">
      <w:pPr>
        <w:pStyle w:val="rvps2"/>
        <w:spacing w:after="150"/>
        <w:rPr>
          <w:rStyle w:val="spanrvts0"/>
          <w:lang w:val="uk" w:eastAsia="uk"/>
        </w:rPr>
      </w:pPr>
      <w:bookmarkStart w:id="6" w:name="n6"/>
      <w:bookmarkEnd w:id="6"/>
      <w:r>
        <w:rPr>
          <w:rStyle w:val="spanrvts0"/>
          <w:lang w:val="uk" w:eastAsia="uk"/>
        </w:rPr>
        <w:t xml:space="preserve">1. Затвердити </w:t>
      </w:r>
      <w:hyperlink w:anchor="n15" w:history="1">
        <w:r>
          <w:rPr>
            <w:rStyle w:val="arvts99"/>
            <w:lang w:val="uk" w:eastAsia="uk"/>
          </w:rPr>
          <w:t>форму рішення разової спеціалізованої вченої ради про присудження ступеня доктора філософії</w:t>
        </w:r>
      </w:hyperlink>
      <w:r>
        <w:rPr>
          <w:rStyle w:val="spanrvts0"/>
          <w:lang w:val="uk" w:eastAsia="uk"/>
        </w:rPr>
        <w:t>, що додається.</w:t>
      </w:r>
    </w:p>
    <w:p w:rsidR="00F44EC2" w:rsidRDefault="001E7D74">
      <w:pPr>
        <w:pStyle w:val="rvps2"/>
        <w:spacing w:after="150"/>
        <w:rPr>
          <w:rStyle w:val="spanrvts0"/>
          <w:lang w:val="uk" w:eastAsia="uk"/>
        </w:rPr>
      </w:pPr>
      <w:bookmarkStart w:id="7" w:name="n7"/>
      <w:bookmarkEnd w:id="7"/>
      <w:r>
        <w:rPr>
          <w:rStyle w:val="spanrvts0"/>
          <w:lang w:val="uk" w:eastAsia="uk"/>
        </w:rPr>
        <w:t xml:space="preserve">2. Визнати таким, що втратив чинність, </w:t>
      </w:r>
      <w:hyperlink r:id="rId9" w:tgtFrame="_blank" w:history="1">
        <w:r>
          <w:rPr>
            <w:rStyle w:val="arvts96"/>
            <w:lang w:val="uk" w:eastAsia="uk"/>
          </w:rPr>
          <w:t>наказ</w:t>
        </w:r>
      </w:hyperlink>
      <w:hyperlink r:id="rId10" w:tgtFrame="_blank" w:history="1">
        <w:r>
          <w:rPr>
            <w:rStyle w:val="arvts96"/>
            <w:lang w:val="uk" w:eastAsia="uk"/>
          </w:rPr>
          <w:t>Міністерства</w:t>
        </w:r>
      </w:hyperlink>
      <w:hyperlink r:id="rId11" w:tgtFrame="_blank" w:history="1">
        <w:r>
          <w:rPr>
            <w:rStyle w:val="arvts96"/>
            <w:lang w:val="uk" w:eastAsia="uk"/>
          </w:rPr>
          <w:t>освіти</w:t>
        </w:r>
      </w:hyperlink>
      <w:hyperlink r:id="rId12" w:tgtFrame="_blank" w:history="1">
        <w:r>
          <w:rPr>
            <w:rStyle w:val="arvts96"/>
            <w:lang w:val="uk" w:eastAsia="uk"/>
          </w:rPr>
          <w:t>і</w:t>
        </w:r>
      </w:hyperlink>
      <w:hyperlink r:id="rId13" w:tgtFrame="_blank" w:history="1">
        <w:r>
          <w:rPr>
            <w:rStyle w:val="arvts96"/>
            <w:lang w:val="uk" w:eastAsia="uk"/>
          </w:rPr>
          <w:t>науки</w:t>
        </w:r>
      </w:hyperlink>
      <w:hyperlink r:id="rId14" w:tgtFrame="_blank" w:history="1">
        <w:r>
          <w:rPr>
            <w:rStyle w:val="arvts96"/>
            <w:lang w:val="uk" w:eastAsia="uk"/>
          </w:rPr>
          <w:t>України</w:t>
        </w:r>
      </w:hyperlink>
      <w:hyperlink r:id="rId15" w:tgtFrame="_blank" w:history="1">
        <w:r>
          <w:rPr>
            <w:rStyle w:val="arvts96"/>
            <w:lang w:val="uk" w:eastAsia="uk"/>
          </w:rPr>
          <w:t>від</w:t>
        </w:r>
      </w:hyperlink>
      <w:hyperlink r:id="rId16" w:tgtFrame="_blank" w:history="1">
        <w:r>
          <w:rPr>
            <w:rStyle w:val="arvts96"/>
            <w:lang w:val="uk" w:eastAsia="uk"/>
          </w:rPr>
          <w:t>22 квітня</w:t>
        </w:r>
      </w:hyperlink>
      <w:hyperlink r:id="rId17" w:tgtFrame="_blank" w:history="1">
        <w:r>
          <w:rPr>
            <w:rStyle w:val="arvts96"/>
            <w:lang w:val="uk" w:eastAsia="uk"/>
          </w:rPr>
          <w:t>2019 року</w:t>
        </w:r>
      </w:hyperlink>
      <w:hyperlink r:id="rId18" w:tgtFrame="_blank" w:history="1">
        <w:r>
          <w:rPr>
            <w:rStyle w:val="arvts96"/>
            <w:lang w:val="uk" w:eastAsia="uk"/>
          </w:rPr>
          <w:t>№</w:t>
        </w:r>
      </w:hyperlink>
      <w:hyperlink r:id="rId19" w:tgtFrame="_blank" w:history="1">
        <w:r>
          <w:rPr>
            <w:rStyle w:val="arvts96"/>
            <w:lang w:val="uk" w:eastAsia="uk"/>
          </w:rPr>
          <w:t>533</w:t>
        </w:r>
      </w:hyperlink>
      <w:r>
        <w:rPr>
          <w:rStyle w:val="spanrvts0"/>
          <w:lang w:val="uk" w:eastAsia="uk"/>
        </w:rPr>
        <w:t xml:space="preserve"> «Про затвердження форм документів атестаційної справи здобувача ступеня доктора філософії», зареєстрований в Міністерстві юстиції України 08 травня 2019 року за </w:t>
      </w:r>
      <w:r>
        <w:rPr>
          <w:rStyle w:val="spanrvts0"/>
          <w:lang w:val="uk" w:eastAsia="uk"/>
        </w:rPr>
        <w:t>№ 474/33445.</w:t>
      </w:r>
    </w:p>
    <w:p w:rsidR="00F44EC2" w:rsidRDefault="001E7D74">
      <w:pPr>
        <w:pStyle w:val="rvps2"/>
        <w:spacing w:after="150"/>
        <w:rPr>
          <w:rStyle w:val="spanrvts0"/>
          <w:lang w:val="uk" w:eastAsia="uk"/>
        </w:rPr>
      </w:pPr>
      <w:bookmarkStart w:id="8" w:name="n8"/>
      <w:bookmarkEnd w:id="8"/>
      <w:r>
        <w:rPr>
          <w:rStyle w:val="spanrvts0"/>
          <w:lang w:val="uk" w:eastAsia="uk"/>
        </w:rPr>
        <w:t>3. Департаменту атестації кадрів вищої кваліфікації (Криштоф Світлана)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F44EC2" w:rsidRDefault="001E7D74">
      <w:pPr>
        <w:pStyle w:val="rvps2"/>
        <w:spacing w:after="150"/>
        <w:rPr>
          <w:rStyle w:val="spanrvts0"/>
          <w:lang w:val="uk" w:eastAsia="uk"/>
        </w:rPr>
      </w:pPr>
      <w:bookmarkStart w:id="9" w:name="n9"/>
      <w:bookmarkEnd w:id="9"/>
      <w:r>
        <w:rPr>
          <w:rStyle w:val="spanrvts0"/>
          <w:lang w:val="uk" w:eastAsia="uk"/>
        </w:rPr>
        <w:t>4. Департаменту забезпечення документообігу,</w:t>
      </w:r>
      <w:r>
        <w:rPr>
          <w:rStyle w:val="spanrvts0"/>
          <w:lang w:val="uk" w:eastAsia="uk"/>
        </w:rPr>
        <w:t xml:space="preserve"> контролю та інформаційних технологій (Єрко Інна) внести відповідні відмітки у справи архіву.</w:t>
      </w:r>
    </w:p>
    <w:p w:rsidR="00F44EC2" w:rsidRDefault="001E7D74">
      <w:pPr>
        <w:pStyle w:val="rvps2"/>
        <w:spacing w:after="150"/>
        <w:rPr>
          <w:rStyle w:val="spanrvts0"/>
          <w:lang w:val="uk" w:eastAsia="uk"/>
        </w:rPr>
      </w:pPr>
      <w:bookmarkStart w:id="10" w:name="n10"/>
      <w:bookmarkEnd w:id="10"/>
      <w:r>
        <w:rPr>
          <w:rStyle w:val="spanrvts0"/>
          <w:lang w:val="uk" w:eastAsia="uk"/>
        </w:rPr>
        <w:t>5. Контроль за виконанням цього наказу покласти на заступника Міністра Винницького Михайла.</w:t>
      </w:r>
    </w:p>
    <w:p w:rsidR="00F44EC2" w:rsidRDefault="001E7D74">
      <w:pPr>
        <w:pStyle w:val="rvps2"/>
        <w:spacing w:after="150"/>
        <w:rPr>
          <w:rStyle w:val="spanrvts0"/>
          <w:lang w:val="uk" w:eastAsia="uk"/>
        </w:rPr>
      </w:pPr>
      <w:bookmarkStart w:id="11" w:name="n11"/>
      <w:bookmarkEnd w:id="11"/>
      <w:r>
        <w:rPr>
          <w:rStyle w:val="spanrvts0"/>
          <w:lang w:val="uk" w:eastAsia="uk"/>
        </w:rPr>
        <w:lastRenderedPageBreak/>
        <w:t>6. Цей наказ набирає чинності з дня його офіційного опублікування.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69"/>
        <w:gridCol w:w="5620"/>
      </w:tblGrid>
      <w:tr w:rsidR="00F44EC2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EC2" w:rsidRDefault="001E7D74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12" w:name="n12"/>
            <w:bookmarkEnd w:id="12"/>
            <w:r>
              <w:rPr>
                <w:rStyle w:val="spanrvts44"/>
                <w:lang w:val="uk" w:eastAsia="uk"/>
              </w:rPr>
              <w:t>Мін</w:t>
            </w:r>
            <w:r>
              <w:rPr>
                <w:rStyle w:val="spanrvts44"/>
                <w:lang w:val="uk" w:eastAsia="uk"/>
              </w:rPr>
              <w:t>істр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EC2" w:rsidRDefault="001E7D74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>О. Лісовий</w:t>
            </w:r>
          </w:p>
        </w:tc>
      </w:tr>
    </w:tbl>
    <w:p w:rsidR="00F44EC2" w:rsidRDefault="00F44EC2">
      <w:pPr>
        <w:rPr>
          <w:vanish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13"/>
        <w:gridCol w:w="3876"/>
      </w:tblGrid>
      <w:tr w:rsidR="00F44EC2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EC2" w:rsidRDefault="001E7D74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3" w:name="n13"/>
            <w:bookmarkEnd w:id="13"/>
            <w:r>
              <w:rPr>
                <w:rStyle w:val="spanrvts0"/>
                <w:lang w:val="uk" w:eastAsia="uk"/>
              </w:rPr>
              <w:t xml:space="preserve">ПОГОДЖЕНО: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  <w:t xml:space="preserve">Голова Національного агентства </w:t>
            </w:r>
            <w:r>
              <w:rPr>
                <w:rStyle w:val="spanrvts0"/>
                <w:lang w:val="uk" w:eastAsia="uk"/>
              </w:rPr>
              <w:br/>
              <w:t>із забезпечення якості вищої освіти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EC2" w:rsidRDefault="001E7D74">
            <w:pPr>
              <w:pStyle w:val="rvps11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  <w:t>А. Бутенко</w:t>
            </w:r>
          </w:p>
        </w:tc>
      </w:tr>
    </w:tbl>
    <w:p w:rsidR="00F44EC2" w:rsidRDefault="001E7D74">
      <w:pPr>
        <w:pStyle w:val="break"/>
        <w:spacing w:after="150"/>
        <w:jc w:val="both"/>
        <w:rPr>
          <w:rStyle w:val="spanrvts0"/>
          <w:lang w:val="uk" w:eastAsia="uk"/>
        </w:rPr>
      </w:pPr>
      <w:r>
        <w:pict>
          <v:rect id="_x0000_i1025" style="width:0;height:.75pt" o:hrpct="0" o:hrstd="t" o:hr="t" fillcolor="gray" stroked="f">
            <v:path strokeok="f"/>
          </v:rect>
        </w:pict>
      </w:r>
      <w:bookmarkStart w:id="14" w:name="n16"/>
      <w:bookmarkEnd w:id="14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13"/>
        <w:gridCol w:w="3876"/>
      </w:tblGrid>
      <w:tr w:rsidR="00F44EC2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EC2" w:rsidRDefault="00F44EC2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5" w:name="n14"/>
            <w:bookmarkEnd w:id="15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EC2" w:rsidRDefault="001E7D74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ЗАТВЕРДЖЕНО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Наказ Міністерства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освіти і науки України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24 квітня 2024 року № 578</w:t>
            </w:r>
          </w:p>
        </w:tc>
      </w:tr>
    </w:tbl>
    <w:bookmarkStart w:id="16" w:name="n15"/>
    <w:bookmarkEnd w:id="16"/>
    <w:p w:rsidR="00F44EC2" w:rsidRDefault="001E7D74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r>
        <w:fldChar w:fldCharType="begin"/>
      </w:r>
      <w:r>
        <w:instrText xml:space="preserve"> HYPERLINK "https://zakon.rada.gov.ua/laws/file/text/116/f535852n20.docx" </w:instrText>
      </w:r>
      <w:r>
        <w:fldChar w:fldCharType="separate"/>
      </w:r>
      <w:r>
        <w:rPr>
          <w:rStyle w:val="arvts103"/>
          <w:lang w:val="uk" w:eastAsia="uk"/>
        </w:rPr>
        <w:t>РІШЕННЯ</w:t>
      </w:r>
      <w:r>
        <w:rPr>
          <w:rStyle w:val="arvts103"/>
          <w:lang w:val="uk" w:eastAsia="uk"/>
        </w:rPr>
        <w:fldChar w:fldCharType="end"/>
      </w:r>
      <w:r>
        <w:rPr>
          <w:rStyle w:val="spanrvts15"/>
          <w:lang w:val="uk" w:eastAsia="uk"/>
        </w:rPr>
        <w:t xml:space="preserve"> </w:t>
      </w:r>
      <w:r>
        <w:rPr>
          <w:rStyle w:val="spanrvts15"/>
          <w:lang w:val="uk" w:eastAsia="uk"/>
        </w:rPr>
        <w:br/>
        <w:t>разової спеціалізованої вченої ради про присудження ступеня доктора філософії</w:t>
      </w:r>
    </w:p>
    <w:p w:rsidR="00F44EC2" w:rsidRDefault="001E7D74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7" w:name="n19"/>
      <w:bookmarkEnd w:id="17"/>
      <w:r>
        <w:rPr>
          <w:rStyle w:val="spanrvts46"/>
          <w:lang w:val="uk" w:eastAsia="uk"/>
        </w:rPr>
        <w:t>{Форма рішення із змінами, внесеними згідно з</w:t>
      </w:r>
      <w:r>
        <w:rPr>
          <w:rStyle w:val="spanrvts11"/>
          <w:lang w:val="uk" w:eastAsia="uk"/>
        </w:rPr>
        <w:t xml:space="preserve"> Наказом Міністерства освіти і науки </w:t>
      </w:r>
      <w:hyperlink r:id="rId20" w:anchor="n6" w:tgtFrame="_blank" w:history="1">
        <w:r>
          <w:rPr>
            <w:rStyle w:val="arvts100"/>
            <w:lang w:val="uk" w:eastAsia="uk"/>
          </w:rPr>
          <w:t>№ 688 від 15.05.2024</w:t>
        </w:r>
      </w:hyperlink>
      <w:r>
        <w:rPr>
          <w:rStyle w:val="spanrvts46"/>
          <w:lang w:val="uk" w:eastAsia="uk"/>
        </w:rPr>
        <w:t>}</w:t>
      </w:r>
    </w:p>
    <w:p w:rsidR="00F44EC2" w:rsidRDefault="00F44EC2">
      <w:pPr>
        <w:pStyle w:val="stamp"/>
        <w:rPr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5729"/>
        <w:gridCol w:w="2475"/>
      </w:tblGrid>
      <w:tr w:rsidR="00F44EC2"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EC2" w:rsidRDefault="001E7D74">
            <w:pPr>
              <w:jc w:val="center"/>
              <w:rPr>
                <w:lang w:val="uk" w:eastAsia="uk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00004" name="Рисунок 1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EC2" w:rsidRDefault="001E7D74">
            <w:pPr>
              <w:rPr>
                <w:lang w:val="uk" w:eastAsia="uk"/>
              </w:rPr>
            </w:pPr>
            <w:r>
              <w:rPr>
                <w:lang w:val="uk" w:eastAsia="uk"/>
              </w:rPr>
              <w:t>Про затвердження форми рішення разової спеціалізованої вченої ради про присудження ступеня доктора філософії</w:t>
            </w:r>
            <w:r>
              <w:rPr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Наказ; МОН України від 24.04.2024 № 578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b/>
                <w:bCs/>
                <w:sz w:val="20"/>
                <w:szCs w:val="20"/>
                <w:lang w:val="uk" w:eastAsia="uk"/>
              </w:rPr>
              <w:t>Редакція</w:t>
            </w:r>
            <w:r>
              <w:rPr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t>29.05.2024</w:t>
            </w:r>
            <w:r>
              <w:rPr>
                <w:sz w:val="20"/>
                <w:szCs w:val="20"/>
                <w:lang w:val="uk" w:eastAsia="uk"/>
              </w:rPr>
              <w:t xml:space="preserve">, підстава — </w:t>
            </w:r>
            <w:hyperlink r:id="rId22" w:tgtFrame="_blank" w:history="1">
              <w:r>
                <w:rPr>
                  <w:color w:val="0000EE"/>
                  <w:sz w:val="20"/>
                  <w:szCs w:val="20"/>
                  <w:u w:val="single" w:color="0000EE"/>
                  <w:lang w:val="uk" w:eastAsia="uk"/>
                </w:rPr>
                <w:t>z0719-24</w:t>
              </w:r>
            </w:hyperlink>
            <w:r>
              <w:rPr>
                <w:color w:val="0000EE"/>
                <w:sz w:val="20"/>
                <w:szCs w:val="20"/>
                <w:u w:val="single" w:color="0000EE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https://zakon.rada.gov.ua/go/z0667-24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EC2" w:rsidRDefault="001E7D74">
            <w:pPr>
              <w:jc w:val="center"/>
              <w:rPr>
                <w:lang w:val="uk" w:eastAsia="uk"/>
              </w:rPr>
            </w:pPr>
            <w:r>
              <w:rPr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станом на 07.06.2024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0" cy="355218"/>
                  <wp:effectExtent l="0" t="0" r="0" b="0"/>
                  <wp:docPr id="100006" name="Рисунок 1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5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EC2" w:rsidRDefault="001E7D74">
      <w:pPr>
        <w:rPr>
          <w:lang w:val="uk" w:eastAsia="uk"/>
        </w:rPr>
      </w:pPr>
      <w:r>
        <w:rPr>
          <w:lang w:val="uk" w:eastAsia="uk"/>
        </w:rPr>
        <w:br/>
      </w:r>
      <w:r>
        <w:pict>
          <v:rect id="_x0000_i1026" style="width:468pt;height:0" o:hralign="center" o:hrstd="t" o:hrnoshade="t" o:hr="t" fillcolor="gray" stroked="f">
            <v:path strokeok="f"/>
          </v:rect>
        </w:pict>
      </w:r>
    </w:p>
    <w:p w:rsidR="00F44EC2" w:rsidRDefault="001E7D74">
      <w:pPr>
        <w:pStyle w:val="2"/>
        <w:keepNext w:val="0"/>
        <w:keepLines w:val="0"/>
        <w:spacing w:before="299" w:after="299"/>
        <w:rPr>
          <w:lang w:val="uk" w:eastAsia="uk"/>
        </w:rPr>
      </w:pPr>
      <w:r>
        <w:rPr>
          <w:color w:val="auto"/>
          <w:lang w:val="uk" w:eastAsia="uk"/>
        </w:rPr>
        <w:t>Документи та файли</w:t>
      </w:r>
    </w:p>
    <w:p w:rsidR="00F44EC2" w:rsidRDefault="001E7D74">
      <w:pPr>
        <w:numPr>
          <w:ilvl w:val="0"/>
          <w:numId w:val="1"/>
        </w:numPr>
        <w:spacing w:before="240" w:after="240"/>
        <w:ind w:hanging="210"/>
        <w:rPr>
          <w:lang w:val="uk" w:eastAsia="uk"/>
        </w:rPr>
      </w:pPr>
      <w:r>
        <w:rPr>
          <w:lang w:val="uk" w:eastAsia="uk"/>
        </w:rPr>
        <w:t xml:space="preserve">Сигнальний документ — </w:t>
      </w:r>
      <w:hyperlink r:id="rId24" w:history="1">
        <w:r>
          <w:rPr>
            <w:b/>
            <w:bCs/>
            <w:color w:val="0000EE"/>
            <w:u w:val="single" w:color="0000EE"/>
            <w:lang w:val="uk" w:eastAsia="uk"/>
          </w:rPr>
          <w:t>f535852n20.docx</w:t>
        </w:r>
      </w:hyperlink>
      <w:r>
        <w:rPr>
          <w:lang w:val="uk" w:eastAsia="uk"/>
        </w:rPr>
        <w:t xml:space="preserve"> </w:t>
      </w:r>
      <w:r>
        <w:rPr>
          <w:sz w:val="20"/>
          <w:szCs w:val="20"/>
          <w:lang w:val="uk" w:eastAsia="uk"/>
        </w:rPr>
        <w:t>від 05.06.24 16:50, 19 кб</w:t>
      </w:r>
    </w:p>
    <w:p w:rsidR="00F44EC2" w:rsidRDefault="001E7D74">
      <w:pPr>
        <w:pStyle w:val="stamp"/>
        <w:rPr>
          <w:lang w:val="uk" w:eastAsia="uk"/>
        </w:rPr>
      </w:pPr>
      <w:r>
        <w:pict>
          <v:rect id="_x0000_i1027" style="width:468pt;height:0" o:hralign="center" o:hrstd="t" o:hrnoshade="t" o:hr="t" fillcolor="gray" stroked="f">
            <v:path strokeok="f"/>
          </v:rect>
        </w:pict>
      </w:r>
    </w:p>
    <w:p w:rsidR="00F44EC2" w:rsidRDefault="001E7D74">
      <w:pPr>
        <w:pStyle w:val="2"/>
        <w:keepNext w:val="0"/>
        <w:keepLines w:val="0"/>
        <w:spacing w:before="299" w:after="299"/>
        <w:rPr>
          <w:lang w:val="uk" w:eastAsia="uk"/>
        </w:rPr>
      </w:pPr>
      <w:r>
        <w:rPr>
          <w:color w:val="auto"/>
          <w:lang w:val="uk" w:eastAsia="uk"/>
        </w:rPr>
        <w:t>Публікації документа</w:t>
      </w:r>
    </w:p>
    <w:p w:rsidR="00F44EC2" w:rsidRDefault="001E7D74">
      <w:pPr>
        <w:numPr>
          <w:ilvl w:val="0"/>
          <w:numId w:val="2"/>
        </w:numPr>
        <w:spacing w:before="240" w:after="240"/>
        <w:ind w:hanging="210"/>
        <w:rPr>
          <w:lang w:val="uk" w:eastAsia="uk"/>
        </w:rPr>
      </w:pPr>
      <w:r>
        <w:rPr>
          <w:b/>
          <w:bCs/>
          <w:lang w:val="uk" w:eastAsia="uk"/>
        </w:rPr>
        <w:t>Офіційний вісник України</w:t>
      </w:r>
      <w:r>
        <w:rPr>
          <w:lang w:val="uk" w:eastAsia="uk"/>
        </w:rPr>
        <w:t xml:space="preserve"> від 29.05.2024 — 2024 р., № 47, стор. 81, стаття 2946, код акта 124</w:t>
      </w:r>
      <w:r>
        <w:rPr>
          <w:lang w:val="uk" w:eastAsia="uk"/>
        </w:rPr>
        <w:t>879/2024</w:t>
      </w:r>
    </w:p>
    <w:sectPr w:rsidR="00F44EC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7D662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5AD0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FAA6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5CC8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5002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5EC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EE4C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5C47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A6AB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140B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70C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2675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A89D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28C7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22C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CE62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AC0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56FA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C2"/>
    <w:rsid w:val="001E7D74"/>
    <w:rsid w:val="00F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29BE7-D739-4792-B93D-DF0A0368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</w:style>
  <w:style w:type="paragraph" w:customStyle="1" w:styleId="rvps4">
    <w:name w:val="rvps4"/>
    <w:basedOn w:val="a"/>
    <w:pPr>
      <w:jc w:val="center"/>
    </w:pPr>
  </w:style>
  <w:style w:type="paragraph" w:customStyle="1" w:styleId="rvps1">
    <w:name w:val="rvps1"/>
    <w:basedOn w:val="a"/>
    <w:pPr>
      <w:jc w:val="center"/>
    </w:pPr>
  </w:style>
  <w:style w:type="character" w:customStyle="1" w:styleId="spanrvts15">
    <w:name w:val="span_rvts15"/>
    <w:basedOn w:val="a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7">
    <w:name w:val="rvps7"/>
    <w:basedOn w:val="a"/>
    <w:pPr>
      <w:jc w:val="center"/>
    </w:p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tblPr/>
  </w:style>
  <w:style w:type="paragraph" w:customStyle="1" w:styleId="rvps8">
    <w:name w:val="rvps8"/>
    <w:basedOn w:val="a"/>
    <w:pPr>
      <w:jc w:val="both"/>
    </w:pPr>
  </w:style>
  <w:style w:type="paragraph" w:customStyle="1" w:styleId="rvps6">
    <w:name w:val="rvps6"/>
    <w:basedOn w:val="a"/>
    <w:pPr>
      <w:jc w:val="center"/>
    </w:pPr>
  </w:style>
  <w:style w:type="paragraph" w:customStyle="1" w:styleId="rvps18">
    <w:name w:val="rvps18"/>
    <w:basedOn w:val="a"/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9">
    <w:name w:val="a_rvts99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pPr>
      <w:jc w:val="right"/>
    </w:pPr>
  </w:style>
  <w:style w:type="paragraph" w:customStyle="1" w:styleId="rvps11">
    <w:name w:val="rvps11"/>
    <w:basedOn w:val="a"/>
    <w:pPr>
      <w:jc w:val="right"/>
    </w:pPr>
  </w:style>
  <w:style w:type="paragraph" w:customStyle="1" w:styleId="break">
    <w:name w:val="break"/>
    <w:basedOn w:val="a"/>
    <w:pPr>
      <w:pageBreakBefore/>
    </w:pPr>
  </w:style>
  <w:style w:type="character" w:customStyle="1" w:styleId="arvts103">
    <w:name w:val="a_rvts103"/>
    <w:basedOn w:val="a0"/>
    <w:rPr>
      <w:rFonts w:ascii="Times New Roman" w:eastAsia="Times New Roman" w:hAnsi="Times New Roman" w:cs="Times New Roman"/>
      <w:b/>
      <w:bCs/>
      <w:i w:val="0"/>
      <w:iCs w:val="0"/>
      <w:color w:val="C00909"/>
      <w:sz w:val="28"/>
      <w:szCs w:val="28"/>
    </w:rPr>
  </w:style>
  <w:style w:type="character" w:customStyle="1" w:styleId="spanrvts46">
    <w:name w:val="span_rvts46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spanrvts11">
    <w:name w:val="span_rvts11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paragraph" w:customStyle="1" w:styleId="stamp">
    <w:name w:val="stamp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30-2014-%D0%BF" TargetMode="External"/><Relationship Id="rId13" Type="http://schemas.openxmlformats.org/officeDocument/2006/relationships/hyperlink" Target="https://zakon.rada.gov.ua/laws/show/z0474-19" TargetMode="External"/><Relationship Id="rId18" Type="http://schemas.openxmlformats.org/officeDocument/2006/relationships/hyperlink" Target="https://zakon.rada.gov.ua/laws/show/z0474-1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zakon.rada.gov.ua/laws/show/44-2022-%D0%BF" TargetMode="External"/><Relationship Id="rId12" Type="http://schemas.openxmlformats.org/officeDocument/2006/relationships/hyperlink" Target="https://zakon.rada.gov.ua/laws/show/z0474-19" TargetMode="External"/><Relationship Id="rId17" Type="http://schemas.openxmlformats.org/officeDocument/2006/relationships/hyperlink" Target="https://zakon.rada.gov.ua/laws/show/z0474-1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474-19" TargetMode="External"/><Relationship Id="rId20" Type="http://schemas.openxmlformats.org/officeDocument/2006/relationships/hyperlink" Target="https://zakon.rada.gov.ua/laws/show/z0719-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719-24" TargetMode="External"/><Relationship Id="rId11" Type="http://schemas.openxmlformats.org/officeDocument/2006/relationships/hyperlink" Target="https://zakon.rada.gov.ua/laws/show/z0474-19" TargetMode="External"/><Relationship Id="rId24" Type="http://schemas.openxmlformats.org/officeDocument/2006/relationships/hyperlink" Target="https://zakon.rada.gov.ua/laws/file/text/116/f535852n20.docx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z0474-19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zakon.rada.gov.ua/laws/show/z0474-19" TargetMode="External"/><Relationship Id="rId19" Type="http://schemas.openxmlformats.org/officeDocument/2006/relationships/hyperlink" Target="https://zakon.rada.gov.ua/laws/show/z047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474-19" TargetMode="External"/><Relationship Id="rId14" Type="http://schemas.openxmlformats.org/officeDocument/2006/relationships/hyperlink" Target="https://zakon.rada.gov.ua/laws/show/z0474-19" TargetMode="External"/><Relationship Id="rId22" Type="http://schemas.openxmlformats.org/officeDocument/2006/relationships/hyperlink" Target="https://zakon.rada.gov.ua/laws/show/z0719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форми рішення разової спеціалізованої вченої ради про присудження ступеня доктора філософії | від 24.04.2024 № 578</vt:lpstr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форми рішення разової спеціалізованої вченої ради про присудження ступеня доктора філософії | від 24.04.2024 № 578</dc:title>
  <dc:creator>Николаевна Ольга</dc:creator>
  <cp:lastModifiedBy>Николаевна Ольга</cp:lastModifiedBy>
  <cp:revision>2</cp:revision>
  <dcterms:created xsi:type="dcterms:W3CDTF">2024-06-07T11:39:00Z</dcterms:created>
  <dcterms:modified xsi:type="dcterms:W3CDTF">2024-06-07T11:39:00Z</dcterms:modified>
</cp:coreProperties>
</file>